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171717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171717"/>
          <w:spacing w:val="0"/>
          <w:kern w:val="0"/>
          <w:sz w:val="27"/>
          <w:szCs w:val="27"/>
          <w:shd w:val="clear" w:fill="FFFFFF"/>
          <w:lang w:val="en-US" w:eastAsia="zh-CN" w:bidi="ar"/>
        </w:rPr>
        <w:t>2018年立项的教育学院第三批网络课程项目名单</w:t>
      </w:r>
    </w:p>
    <w:bookmarkEnd w:id="0"/>
    <w:tbl>
      <w:tblPr>
        <w:tblStyle w:val="3"/>
        <w:tblW w:w="65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3439"/>
        <w:gridCol w:w="21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妇产科护理学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田晓迎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刑事诉讼法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梁玉霞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郝振明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沈太霞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食品质量管理学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唐书泽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李孟怡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经济法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费兰芳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政治伦理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胡矗明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精神病护理学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大学英语5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欧仕益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陈庆容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儿科护理学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山艳春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英语口语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段维军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成本会计学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周大鹏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杨远斌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大学英语4（学位英语）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冷璐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171717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B03C5"/>
    <w:rsid w:val="527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2019-11-06T10:07:00Z</dcterms:created>
  <dc:creator>钟辉</dc:creator>
  <cp:lastModifiedBy>钟辉</cp:lastModifiedBy>
  <dcterms:modified xsi:type="dcterms:W3CDTF">2019-11-06T10:09:33Z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